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3B16" w14:textId="38674BCE" w:rsidR="00FF29E2" w:rsidRDefault="00FF29E2" w:rsidP="00FF29E2">
      <w:pPr>
        <w:spacing w:after="0"/>
        <w:jc w:val="center"/>
      </w:pPr>
      <w:r>
        <w:rPr>
          <w:noProof/>
        </w:rPr>
        <w:drawing>
          <wp:inline distT="0" distB="0" distL="0" distR="0" wp14:anchorId="6DD3EE92" wp14:editId="3E86959E">
            <wp:extent cx="796421" cy="600501"/>
            <wp:effectExtent l="0" t="0" r="3810" b="9525"/>
            <wp:docPr id="2098638490"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38490"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0672" cy="611247"/>
                    </a:xfrm>
                    <a:prstGeom prst="rect">
                      <a:avLst/>
                    </a:prstGeom>
                  </pic:spPr>
                </pic:pic>
              </a:graphicData>
            </a:graphic>
          </wp:inline>
        </w:drawing>
      </w:r>
    </w:p>
    <w:p w14:paraId="3D8A1968" w14:textId="7592770A" w:rsidR="00FF29E2" w:rsidRDefault="00FF29E2" w:rsidP="00FF29E2">
      <w:pPr>
        <w:spacing w:after="0"/>
        <w:jc w:val="center"/>
        <w:rPr>
          <w:b/>
          <w:bCs/>
          <w:sz w:val="28"/>
          <w:szCs w:val="28"/>
        </w:rPr>
      </w:pPr>
      <w:r w:rsidRPr="00FF29E2">
        <w:rPr>
          <w:b/>
          <w:bCs/>
          <w:sz w:val="28"/>
          <w:szCs w:val="28"/>
        </w:rPr>
        <w:t>Safer Recruitment Policy</w:t>
      </w:r>
    </w:p>
    <w:p w14:paraId="687E902F" w14:textId="35EB56B8" w:rsidR="00FF29E2" w:rsidRPr="008D4BAC" w:rsidRDefault="00FF29E2" w:rsidP="00FF29E2">
      <w:pPr>
        <w:spacing w:after="0"/>
        <w:rPr>
          <w:sz w:val="28"/>
          <w:szCs w:val="28"/>
        </w:rPr>
      </w:pPr>
      <w:r w:rsidRPr="008D4BAC">
        <w:rPr>
          <w:sz w:val="28"/>
          <w:szCs w:val="28"/>
        </w:rPr>
        <w:t>This policy Outlines the effective system in place at Hayley’s Little Heroes to recruit staff, volunteers, students and parent/carer helpers. This policy supports us to determine whether an individual is suitable to work, be responsible for, and have regular contact with children. It is crucial that our recruitment culture helps to identify and eliminate people who might pose a safeguarding or welfare threat. This policy also covers the recruitment of ex-offenders and is made available to all enhanced disclosure applicants at the outset of the recruitment process.</w:t>
      </w:r>
    </w:p>
    <w:p w14:paraId="377EC91C" w14:textId="77777777" w:rsidR="00FF29E2" w:rsidRPr="008D4BAC" w:rsidRDefault="00FF29E2" w:rsidP="00FF29E2">
      <w:pPr>
        <w:spacing w:after="0"/>
        <w:rPr>
          <w:sz w:val="28"/>
          <w:szCs w:val="28"/>
        </w:rPr>
      </w:pPr>
    </w:p>
    <w:p w14:paraId="19624F82" w14:textId="1C8489D2" w:rsidR="00FF29E2" w:rsidRPr="008D4BAC" w:rsidRDefault="00FF29E2" w:rsidP="00FF29E2">
      <w:pPr>
        <w:spacing w:after="0"/>
        <w:rPr>
          <w:sz w:val="28"/>
          <w:szCs w:val="28"/>
        </w:rPr>
      </w:pPr>
      <w:r w:rsidRPr="008D4BAC">
        <w:rPr>
          <w:sz w:val="28"/>
          <w:szCs w:val="28"/>
        </w:rPr>
        <w:t>Hayley’s Little Heroes are committed to the fair treatment of its staff, potential staff or users of its services, regardless of ethnicity, gender identity, religion, sexual orientation, responsibilities for dependants, age, disability or offending background. We actively promote equality of opportunity for all with the right mix of talent, skills and potential and welcome applications from a wide range of candidates. We select all candidates for interview based on their skills, qualifications and experience.</w:t>
      </w:r>
    </w:p>
    <w:p w14:paraId="00785697" w14:textId="77777777" w:rsidR="00FF29E2" w:rsidRPr="008D4BAC" w:rsidRDefault="00FF29E2" w:rsidP="00FF29E2">
      <w:pPr>
        <w:spacing w:after="0"/>
        <w:rPr>
          <w:sz w:val="28"/>
          <w:szCs w:val="28"/>
        </w:rPr>
      </w:pPr>
    </w:p>
    <w:p w14:paraId="149481BD" w14:textId="394D418D" w:rsidR="00FF29E2" w:rsidRPr="008D4BAC" w:rsidRDefault="00FF29E2" w:rsidP="00FF29E2">
      <w:pPr>
        <w:spacing w:after="0"/>
        <w:rPr>
          <w:b/>
          <w:bCs/>
          <w:sz w:val="28"/>
          <w:szCs w:val="28"/>
        </w:rPr>
      </w:pPr>
      <w:r w:rsidRPr="008D4BAC">
        <w:rPr>
          <w:b/>
          <w:bCs/>
          <w:sz w:val="28"/>
          <w:szCs w:val="28"/>
        </w:rPr>
        <w:t>Our Recruitment Procedure for paid employees is as follows:</w:t>
      </w:r>
    </w:p>
    <w:p w14:paraId="06FB133D" w14:textId="3C843DDB" w:rsidR="00FF29E2" w:rsidRPr="008D4BAC" w:rsidRDefault="00FF29E2" w:rsidP="00FF29E2">
      <w:pPr>
        <w:pStyle w:val="ListParagraph"/>
        <w:numPr>
          <w:ilvl w:val="0"/>
          <w:numId w:val="1"/>
        </w:numPr>
        <w:spacing w:after="0"/>
        <w:rPr>
          <w:sz w:val="28"/>
          <w:szCs w:val="28"/>
        </w:rPr>
      </w:pPr>
      <w:r w:rsidRPr="008D4BAC">
        <w:rPr>
          <w:sz w:val="28"/>
          <w:szCs w:val="28"/>
        </w:rPr>
        <w:t>All application forms, job adverts, job briefings etc will contain a statement that clearly states any permanent job offers will be subject to a clear enhanced DBS disclosure</w:t>
      </w:r>
      <w:r w:rsidR="0021765C" w:rsidRPr="008D4BAC">
        <w:rPr>
          <w:sz w:val="28"/>
          <w:szCs w:val="28"/>
        </w:rPr>
        <w:t>, and 2 satisfactory references.</w:t>
      </w:r>
    </w:p>
    <w:p w14:paraId="0CFD153F" w14:textId="7F8E7AD5" w:rsidR="00FF29E2" w:rsidRPr="008D4BAC" w:rsidRDefault="00FF29E2" w:rsidP="00FF29E2">
      <w:pPr>
        <w:pStyle w:val="ListParagraph"/>
        <w:numPr>
          <w:ilvl w:val="0"/>
          <w:numId w:val="1"/>
        </w:numPr>
        <w:spacing w:after="0"/>
        <w:rPr>
          <w:sz w:val="28"/>
          <w:szCs w:val="28"/>
        </w:rPr>
      </w:pPr>
      <w:r w:rsidRPr="008D4BAC">
        <w:rPr>
          <w:sz w:val="28"/>
          <w:szCs w:val="28"/>
        </w:rPr>
        <w:t>Candidates will</w:t>
      </w:r>
      <w:r w:rsidR="0021765C" w:rsidRPr="008D4BAC">
        <w:rPr>
          <w:sz w:val="28"/>
          <w:szCs w:val="28"/>
        </w:rPr>
        <w:t xml:space="preserve"> receive a job description and person specification for the role applied for, with induction packs</w:t>
      </w:r>
    </w:p>
    <w:p w14:paraId="791E2C43" w14:textId="33C1491D" w:rsidR="0021765C" w:rsidRPr="008D4BAC" w:rsidRDefault="0021765C" w:rsidP="00FF29E2">
      <w:pPr>
        <w:pStyle w:val="ListParagraph"/>
        <w:numPr>
          <w:ilvl w:val="0"/>
          <w:numId w:val="1"/>
        </w:numPr>
        <w:spacing w:after="0"/>
        <w:rPr>
          <w:sz w:val="28"/>
          <w:szCs w:val="28"/>
        </w:rPr>
      </w:pPr>
      <w:r w:rsidRPr="008D4BAC">
        <w:rPr>
          <w:sz w:val="28"/>
          <w:szCs w:val="28"/>
        </w:rPr>
        <w:t>Candidates must complete our application form and sign company disclaimer.</w:t>
      </w:r>
    </w:p>
    <w:p w14:paraId="47B60ED8" w14:textId="080CFC77" w:rsidR="0021765C" w:rsidRPr="008D4BAC" w:rsidRDefault="0021765C" w:rsidP="00FF29E2">
      <w:pPr>
        <w:pStyle w:val="ListParagraph"/>
        <w:numPr>
          <w:ilvl w:val="0"/>
          <w:numId w:val="1"/>
        </w:numPr>
        <w:spacing w:after="0"/>
        <w:rPr>
          <w:sz w:val="28"/>
          <w:szCs w:val="28"/>
        </w:rPr>
      </w:pPr>
      <w:r w:rsidRPr="008D4BAC">
        <w:rPr>
          <w:sz w:val="28"/>
          <w:szCs w:val="28"/>
        </w:rPr>
        <w:t xml:space="preserve">Full employment history will be obtained via our application forms and discussed within the first interview stage where any gaps in employment can also be discussed and explained where necessary. </w:t>
      </w:r>
    </w:p>
    <w:p w14:paraId="68E3FE7A" w14:textId="52DF3591" w:rsidR="0021765C" w:rsidRPr="008D4BAC" w:rsidRDefault="0021765C" w:rsidP="00FF29E2">
      <w:pPr>
        <w:pStyle w:val="ListParagraph"/>
        <w:numPr>
          <w:ilvl w:val="0"/>
          <w:numId w:val="1"/>
        </w:numPr>
        <w:spacing w:after="0"/>
        <w:rPr>
          <w:sz w:val="28"/>
          <w:szCs w:val="28"/>
        </w:rPr>
      </w:pPr>
      <w:r w:rsidRPr="008D4BAC">
        <w:rPr>
          <w:sz w:val="28"/>
          <w:szCs w:val="28"/>
        </w:rPr>
        <w:t xml:space="preserve">2 references will be obtained, and one must be from the last employer and or the last childcare organisation if relevant. </w:t>
      </w:r>
    </w:p>
    <w:p w14:paraId="00012F82" w14:textId="28D46A08" w:rsidR="0021765C" w:rsidRPr="008D4BAC" w:rsidRDefault="0021765C" w:rsidP="00FF29E2">
      <w:pPr>
        <w:pStyle w:val="ListParagraph"/>
        <w:numPr>
          <w:ilvl w:val="0"/>
          <w:numId w:val="1"/>
        </w:numPr>
        <w:spacing w:after="0"/>
        <w:rPr>
          <w:sz w:val="28"/>
          <w:szCs w:val="28"/>
        </w:rPr>
      </w:pPr>
      <w:r w:rsidRPr="008D4BAC">
        <w:rPr>
          <w:sz w:val="28"/>
          <w:szCs w:val="28"/>
        </w:rPr>
        <w:t xml:space="preserve">Original copies of any qualifications and DBS checks will be viewed by management and checked via the government </w:t>
      </w:r>
      <w:r w:rsidR="00077FD2" w:rsidRPr="008D4BAC">
        <w:rPr>
          <w:sz w:val="28"/>
          <w:szCs w:val="28"/>
        </w:rPr>
        <w:t>portals and</w:t>
      </w:r>
      <w:r w:rsidRPr="008D4BAC">
        <w:rPr>
          <w:sz w:val="28"/>
          <w:szCs w:val="28"/>
        </w:rPr>
        <w:t xml:space="preserve"> returned to the candidate following verification and dates will be held on single central record and </w:t>
      </w:r>
      <w:r w:rsidR="009E7209" w:rsidRPr="008D4BAC">
        <w:rPr>
          <w:sz w:val="28"/>
          <w:szCs w:val="28"/>
        </w:rPr>
        <w:t>candidate’s</w:t>
      </w:r>
      <w:r w:rsidRPr="008D4BAC">
        <w:rPr>
          <w:sz w:val="28"/>
          <w:szCs w:val="28"/>
        </w:rPr>
        <w:t xml:space="preserve"> personnel file. Any CPD certifications will be copied and stored on site with the </w:t>
      </w:r>
      <w:r w:rsidR="009E7209" w:rsidRPr="008D4BAC">
        <w:rPr>
          <w:sz w:val="28"/>
          <w:szCs w:val="28"/>
        </w:rPr>
        <w:t>candidate’s</w:t>
      </w:r>
      <w:r w:rsidRPr="008D4BAC">
        <w:rPr>
          <w:sz w:val="28"/>
          <w:szCs w:val="28"/>
        </w:rPr>
        <w:t xml:space="preserve"> permission for viewing by relevant authorities for inspection when required.</w:t>
      </w:r>
    </w:p>
    <w:p w14:paraId="7F52882D" w14:textId="6E4246A8" w:rsidR="0021765C" w:rsidRPr="008D4BAC" w:rsidRDefault="00D55F2D" w:rsidP="00FF29E2">
      <w:pPr>
        <w:pStyle w:val="ListParagraph"/>
        <w:numPr>
          <w:ilvl w:val="0"/>
          <w:numId w:val="1"/>
        </w:numPr>
        <w:spacing w:after="0"/>
        <w:rPr>
          <w:sz w:val="28"/>
          <w:szCs w:val="28"/>
        </w:rPr>
      </w:pPr>
      <w:r w:rsidRPr="008D4BAC">
        <w:rPr>
          <w:sz w:val="28"/>
          <w:szCs w:val="28"/>
        </w:rPr>
        <w:t xml:space="preserve">Short listed candidates who are not UK nationals will be subject to the right to work in the UK forms completed and a DBS check for the country of origin, plus </w:t>
      </w:r>
      <w:r w:rsidRPr="008D4BAC">
        <w:rPr>
          <w:sz w:val="28"/>
          <w:szCs w:val="28"/>
        </w:rPr>
        <w:lastRenderedPageBreak/>
        <w:t xml:space="preserve">UK DBS checks and 2 Separate ID checks. Any British National who may be shortlisted will be required to provide 2 separate forms of ID checks which will again be noted in personnel file. </w:t>
      </w:r>
    </w:p>
    <w:p w14:paraId="5CE5F821" w14:textId="68E50EF9" w:rsidR="00D55F2D" w:rsidRPr="008D4BAC" w:rsidRDefault="00D55F2D" w:rsidP="00FF29E2">
      <w:pPr>
        <w:pStyle w:val="ListParagraph"/>
        <w:numPr>
          <w:ilvl w:val="0"/>
          <w:numId w:val="1"/>
        </w:numPr>
        <w:spacing w:after="0"/>
        <w:rPr>
          <w:sz w:val="28"/>
          <w:szCs w:val="28"/>
        </w:rPr>
      </w:pPr>
      <w:r w:rsidRPr="008D4BAC">
        <w:rPr>
          <w:sz w:val="28"/>
          <w:szCs w:val="28"/>
        </w:rPr>
        <w:t xml:space="preserve">Any successful candidates will be asked to return for a second interview where they will spend supervised time with the children to further view their suitability for the role applied. </w:t>
      </w:r>
    </w:p>
    <w:p w14:paraId="30671E20" w14:textId="1964D517" w:rsidR="0090794A" w:rsidRPr="008D4BAC" w:rsidRDefault="0090794A" w:rsidP="00FF29E2">
      <w:pPr>
        <w:pStyle w:val="ListParagraph"/>
        <w:numPr>
          <w:ilvl w:val="0"/>
          <w:numId w:val="1"/>
        </w:numPr>
        <w:spacing w:after="0"/>
        <w:rPr>
          <w:sz w:val="28"/>
          <w:szCs w:val="28"/>
        </w:rPr>
      </w:pPr>
      <w:r w:rsidRPr="008D4BAC">
        <w:rPr>
          <w:sz w:val="28"/>
          <w:szCs w:val="28"/>
        </w:rPr>
        <w:t xml:space="preserve">Where HLH feels we have successfully found a new candidate though we are awaiting relevant references and DBS checks, the candidate will be shadowed by a room leader or member of the management team whilst on site, and will not be unsupervised at any time, nor will they be permitted to carry out any personal/intimate care routines, or access our online application Babys days (child’s personal info) </w:t>
      </w:r>
      <w:proofErr w:type="spellStart"/>
      <w:r w:rsidRPr="008D4BAC">
        <w:rPr>
          <w:sz w:val="28"/>
          <w:szCs w:val="28"/>
        </w:rPr>
        <w:t>til</w:t>
      </w:r>
      <w:proofErr w:type="spellEnd"/>
      <w:r w:rsidRPr="008D4BAC">
        <w:rPr>
          <w:sz w:val="28"/>
          <w:szCs w:val="28"/>
        </w:rPr>
        <w:t xml:space="preserve"> such documents have been obtained and are clear.  </w:t>
      </w:r>
    </w:p>
    <w:p w14:paraId="5B8FA92E" w14:textId="77777777" w:rsidR="00D55F2D" w:rsidRPr="008D4BAC" w:rsidRDefault="00D55F2D" w:rsidP="00D55F2D">
      <w:pPr>
        <w:spacing w:after="0"/>
        <w:rPr>
          <w:sz w:val="28"/>
          <w:szCs w:val="28"/>
        </w:rPr>
      </w:pPr>
    </w:p>
    <w:p w14:paraId="0CEACF98" w14:textId="5B1720ED" w:rsidR="00E56EB1" w:rsidRPr="008D4BAC" w:rsidRDefault="00E56EB1" w:rsidP="00D55F2D">
      <w:pPr>
        <w:spacing w:after="0"/>
        <w:rPr>
          <w:sz w:val="28"/>
          <w:szCs w:val="28"/>
        </w:rPr>
      </w:pPr>
      <w:r w:rsidRPr="008D4BAC">
        <w:rPr>
          <w:b/>
          <w:bCs/>
          <w:sz w:val="28"/>
          <w:szCs w:val="28"/>
        </w:rPr>
        <w:t>Offers of employment</w:t>
      </w:r>
    </w:p>
    <w:p w14:paraId="25E1FD9D" w14:textId="43F0B532" w:rsidR="00E56EB1" w:rsidRPr="008D4BAC" w:rsidRDefault="00E56EB1" w:rsidP="00E56EB1">
      <w:pPr>
        <w:pStyle w:val="ListParagraph"/>
        <w:numPr>
          <w:ilvl w:val="0"/>
          <w:numId w:val="1"/>
        </w:numPr>
        <w:spacing w:after="0"/>
        <w:rPr>
          <w:sz w:val="28"/>
          <w:szCs w:val="28"/>
        </w:rPr>
      </w:pPr>
      <w:r w:rsidRPr="008D4BAC">
        <w:rPr>
          <w:sz w:val="28"/>
          <w:szCs w:val="28"/>
        </w:rPr>
        <w:t>Probationary period of 3 (12 weeks) month minimum from start date is set for each candidate/ employee.</w:t>
      </w:r>
    </w:p>
    <w:p w14:paraId="0F70896B" w14:textId="31BECFF8" w:rsidR="00E56EB1" w:rsidRPr="008D4BAC" w:rsidRDefault="00E56EB1" w:rsidP="00E56EB1">
      <w:pPr>
        <w:pStyle w:val="ListParagraph"/>
        <w:numPr>
          <w:ilvl w:val="0"/>
          <w:numId w:val="1"/>
        </w:numPr>
        <w:spacing w:after="0"/>
        <w:rPr>
          <w:sz w:val="28"/>
          <w:szCs w:val="28"/>
        </w:rPr>
      </w:pPr>
      <w:r w:rsidRPr="008D4BAC">
        <w:rPr>
          <w:sz w:val="28"/>
          <w:szCs w:val="28"/>
        </w:rPr>
        <w:t xml:space="preserve">Staff to agree to use the update service OR agree to have this deducted from wage yearly. </w:t>
      </w:r>
    </w:p>
    <w:p w14:paraId="4762E124" w14:textId="252BF016" w:rsidR="00E56EB1" w:rsidRPr="008D4BAC" w:rsidRDefault="00E56EB1" w:rsidP="00E56EB1">
      <w:pPr>
        <w:pStyle w:val="ListParagraph"/>
        <w:numPr>
          <w:ilvl w:val="0"/>
          <w:numId w:val="1"/>
        </w:numPr>
        <w:spacing w:after="0"/>
        <w:rPr>
          <w:sz w:val="28"/>
          <w:szCs w:val="28"/>
        </w:rPr>
      </w:pPr>
      <w:r w:rsidRPr="008D4BAC">
        <w:rPr>
          <w:sz w:val="28"/>
          <w:szCs w:val="28"/>
        </w:rPr>
        <w:t xml:space="preserve">Staff to sign a yearly declaration form during supervisions for disclosure and criminal records where the employee has been employed for 12 months or more. </w:t>
      </w:r>
    </w:p>
    <w:p w14:paraId="0282DD39" w14:textId="17C90723" w:rsidR="00E56EB1" w:rsidRPr="008D4BAC" w:rsidRDefault="00E56EB1" w:rsidP="00E56EB1">
      <w:pPr>
        <w:pStyle w:val="ListParagraph"/>
        <w:numPr>
          <w:ilvl w:val="0"/>
          <w:numId w:val="1"/>
        </w:numPr>
        <w:spacing w:after="0"/>
        <w:rPr>
          <w:sz w:val="28"/>
          <w:szCs w:val="28"/>
        </w:rPr>
      </w:pPr>
      <w:r w:rsidRPr="008D4BAC">
        <w:rPr>
          <w:sz w:val="28"/>
          <w:szCs w:val="28"/>
        </w:rPr>
        <w:t>Staff agree that where the employment only lasts less than 12 months from the start date, the cost of enhanced disclosure will be paid back to HLH in full by the applicant/ employee (usually in final wage).</w:t>
      </w:r>
    </w:p>
    <w:p w14:paraId="6AF6AD6D" w14:textId="77777777" w:rsidR="00E56EB1" w:rsidRPr="008D4BAC" w:rsidRDefault="00E56EB1" w:rsidP="00E56EB1">
      <w:pPr>
        <w:spacing w:after="0"/>
        <w:rPr>
          <w:sz w:val="28"/>
          <w:szCs w:val="28"/>
        </w:rPr>
      </w:pPr>
    </w:p>
    <w:p w14:paraId="0F0EA8C2" w14:textId="14372410" w:rsidR="00E56EB1" w:rsidRPr="008D4BAC" w:rsidRDefault="00E56EB1" w:rsidP="00E56EB1">
      <w:pPr>
        <w:spacing w:after="0"/>
        <w:rPr>
          <w:sz w:val="28"/>
          <w:szCs w:val="28"/>
        </w:rPr>
      </w:pPr>
      <w:r w:rsidRPr="008D4BAC">
        <w:rPr>
          <w:b/>
          <w:bCs/>
          <w:sz w:val="28"/>
          <w:szCs w:val="28"/>
        </w:rPr>
        <w:t>Procedures relating to ex-offenders</w:t>
      </w:r>
    </w:p>
    <w:p w14:paraId="66BA50A0" w14:textId="77777777" w:rsidR="00F6609E" w:rsidRPr="008D4BAC" w:rsidRDefault="00F6609E" w:rsidP="00E56EB1">
      <w:pPr>
        <w:spacing w:after="0"/>
        <w:rPr>
          <w:sz w:val="28"/>
          <w:szCs w:val="28"/>
        </w:rPr>
      </w:pPr>
      <w:r w:rsidRPr="008D4BAC">
        <w:rPr>
          <w:sz w:val="28"/>
          <w:szCs w:val="28"/>
        </w:rPr>
        <w:t xml:space="preserve">Having a criminal record will not necessarily bar you from working with us. This will depend on the nature of the position and the circumstances and background of your offences. We encourage all applicants called for interview to provide details of their criminal record at an early stage in the application process. </w:t>
      </w:r>
    </w:p>
    <w:p w14:paraId="2F3B237E" w14:textId="77777777" w:rsidR="00F6609E" w:rsidRPr="008D4BAC" w:rsidRDefault="00F6609E" w:rsidP="00E56EB1">
      <w:pPr>
        <w:spacing w:after="0"/>
        <w:rPr>
          <w:sz w:val="28"/>
          <w:szCs w:val="28"/>
        </w:rPr>
      </w:pPr>
      <w:r w:rsidRPr="008D4BAC">
        <w:rPr>
          <w:sz w:val="28"/>
          <w:szCs w:val="28"/>
        </w:rPr>
        <w:t xml:space="preserve">We request that this information is sent under separate, confidential cover to the management team, and we guarantee that this information will only be seen by those who need to see it as part of the recruitment process. </w:t>
      </w:r>
    </w:p>
    <w:p w14:paraId="03266B94" w14:textId="2F0EA864" w:rsidR="00F6609E" w:rsidRPr="008D4BAC" w:rsidRDefault="00F6609E" w:rsidP="00E56EB1">
      <w:pPr>
        <w:spacing w:after="0"/>
        <w:rPr>
          <w:sz w:val="28"/>
          <w:szCs w:val="28"/>
        </w:rPr>
      </w:pPr>
      <w:r w:rsidRPr="008D4BAC">
        <w:rPr>
          <w:sz w:val="28"/>
          <w:szCs w:val="28"/>
        </w:rPr>
        <w:t xml:space="preserve">Unless the nature of the position allows HLH to ask questions about your entire criminal record, we only ask about unspent convictions as defined in the Rehabilitation of Offenders Act 1974. </w:t>
      </w:r>
    </w:p>
    <w:p w14:paraId="689879D0" w14:textId="5441DE9F" w:rsidR="00F6609E" w:rsidRPr="008D4BAC" w:rsidRDefault="00F6609E" w:rsidP="00E56EB1">
      <w:pPr>
        <w:spacing w:after="0"/>
        <w:rPr>
          <w:sz w:val="28"/>
          <w:szCs w:val="28"/>
        </w:rPr>
      </w:pPr>
      <w:r w:rsidRPr="008D4BAC">
        <w:rPr>
          <w:sz w:val="28"/>
          <w:szCs w:val="28"/>
        </w:rPr>
        <w:t xml:space="preserve">We ensure that all members of HLH management team have relevant Safer Recruitment Training held either by our Local Authority (Warrington) Or our online learning platform (Flick Learning). </w:t>
      </w:r>
    </w:p>
    <w:p w14:paraId="533DD291" w14:textId="77777777" w:rsidR="00F6609E" w:rsidRPr="008D4BAC" w:rsidRDefault="00F6609E" w:rsidP="00E56EB1">
      <w:pPr>
        <w:spacing w:after="0"/>
        <w:rPr>
          <w:sz w:val="28"/>
          <w:szCs w:val="28"/>
        </w:rPr>
      </w:pPr>
    </w:p>
    <w:p w14:paraId="1E517FBF" w14:textId="54497806" w:rsidR="00E56EB1" w:rsidRPr="008D4BAC" w:rsidRDefault="00F6609E" w:rsidP="00E56EB1">
      <w:pPr>
        <w:spacing w:after="0"/>
        <w:rPr>
          <w:sz w:val="28"/>
          <w:szCs w:val="28"/>
        </w:rPr>
      </w:pPr>
      <w:r w:rsidRPr="008D4BAC">
        <w:rPr>
          <w:sz w:val="28"/>
          <w:szCs w:val="28"/>
        </w:rPr>
        <w:lastRenderedPageBreak/>
        <w:t xml:space="preserve"> 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We make certain that every subject of a DBS is aware of the existence of the DBS Code of Practice and copies of this are supplied with our induction pack for all potential candidates. We undertake to discuss any matter revealed in an enhanced disclosure with the person seeking the position before withdrawing a conditional offer of employment.</w:t>
      </w:r>
    </w:p>
    <w:p w14:paraId="6C9A0C13" w14:textId="77777777" w:rsidR="00F6609E" w:rsidRPr="008D4BAC" w:rsidRDefault="00F6609E" w:rsidP="00E56EB1">
      <w:pPr>
        <w:spacing w:after="0"/>
        <w:rPr>
          <w:sz w:val="28"/>
          <w:szCs w:val="28"/>
        </w:rPr>
      </w:pPr>
    </w:p>
    <w:p w14:paraId="38E197B8" w14:textId="3A201B4B" w:rsidR="00F6609E" w:rsidRPr="008D4BAC" w:rsidRDefault="00BC5652" w:rsidP="00E56EB1">
      <w:pPr>
        <w:spacing w:after="0"/>
        <w:rPr>
          <w:b/>
          <w:bCs/>
          <w:sz w:val="28"/>
          <w:szCs w:val="28"/>
        </w:rPr>
      </w:pPr>
      <w:r w:rsidRPr="008D4BAC">
        <w:rPr>
          <w:b/>
          <w:bCs/>
          <w:sz w:val="28"/>
          <w:szCs w:val="28"/>
        </w:rPr>
        <w:t xml:space="preserve">Procedures for Volunteers (adults 18 and over) </w:t>
      </w:r>
    </w:p>
    <w:p w14:paraId="0161B70D" w14:textId="6CC52679" w:rsidR="00BC5652" w:rsidRPr="008D4BAC" w:rsidRDefault="00BC5652" w:rsidP="00E56EB1">
      <w:pPr>
        <w:spacing w:after="0"/>
        <w:rPr>
          <w:sz w:val="28"/>
          <w:szCs w:val="28"/>
        </w:rPr>
      </w:pPr>
      <w:r w:rsidRPr="008D4BAC">
        <w:rPr>
          <w:sz w:val="28"/>
          <w:szCs w:val="28"/>
        </w:rPr>
        <w:t xml:space="preserve">Hayley’s Little Heroes does not currently have any roles for volunteers within the company and do not </w:t>
      </w:r>
      <w:r w:rsidR="00DC13B0" w:rsidRPr="008D4BAC">
        <w:rPr>
          <w:sz w:val="28"/>
          <w:szCs w:val="28"/>
        </w:rPr>
        <w:t>yet</w:t>
      </w:r>
      <w:r w:rsidRPr="008D4BAC">
        <w:rPr>
          <w:sz w:val="28"/>
          <w:szCs w:val="28"/>
        </w:rPr>
        <w:t xml:space="preserve"> foresee this changing in the future. </w:t>
      </w:r>
      <w:r w:rsidR="00DC13B0" w:rsidRPr="008D4BAC">
        <w:rPr>
          <w:sz w:val="28"/>
          <w:szCs w:val="28"/>
        </w:rPr>
        <w:t>However,</w:t>
      </w:r>
      <w:r w:rsidRPr="008D4BAC">
        <w:rPr>
          <w:sz w:val="28"/>
          <w:szCs w:val="28"/>
        </w:rPr>
        <w:t xml:space="preserve"> should this for any reason change then volunteers would also be subject to the above suitability checks. </w:t>
      </w:r>
    </w:p>
    <w:p w14:paraId="7780E832" w14:textId="77777777" w:rsidR="00BC5652" w:rsidRPr="008D4BAC" w:rsidRDefault="00BC5652" w:rsidP="00E56EB1">
      <w:pPr>
        <w:spacing w:after="0"/>
        <w:rPr>
          <w:sz w:val="28"/>
          <w:szCs w:val="28"/>
        </w:rPr>
      </w:pPr>
    </w:p>
    <w:p w14:paraId="0FF6218E" w14:textId="66F003EB" w:rsidR="00BC5652" w:rsidRPr="008D4BAC" w:rsidRDefault="00BC5652" w:rsidP="00E56EB1">
      <w:pPr>
        <w:spacing w:after="0"/>
        <w:rPr>
          <w:b/>
          <w:bCs/>
          <w:sz w:val="28"/>
          <w:szCs w:val="28"/>
        </w:rPr>
      </w:pPr>
      <w:r w:rsidRPr="008D4BAC">
        <w:rPr>
          <w:b/>
          <w:bCs/>
          <w:sz w:val="28"/>
          <w:szCs w:val="28"/>
        </w:rPr>
        <w:t>Procedures for students and work experience pupils. (this would be any college student or high school student on work experience and under the age of 18)</w:t>
      </w:r>
    </w:p>
    <w:p w14:paraId="641E5EB9" w14:textId="084A5C32" w:rsidR="00BC5652" w:rsidRPr="008D4BAC" w:rsidRDefault="00BC5652" w:rsidP="00BC5652">
      <w:pPr>
        <w:pStyle w:val="ListParagraph"/>
        <w:numPr>
          <w:ilvl w:val="0"/>
          <w:numId w:val="1"/>
        </w:numPr>
        <w:spacing w:after="0"/>
        <w:rPr>
          <w:sz w:val="28"/>
          <w:szCs w:val="28"/>
        </w:rPr>
      </w:pPr>
      <w:r w:rsidRPr="008D4BAC">
        <w:rPr>
          <w:sz w:val="28"/>
          <w:szCs w:val="28"/>
        </w:rPr>
        <w:t xml:space="preserve">All students/ pupils will be subject to interview either where Hayley/ Paula will attend their educational setting and interview alongside a responsible person from their setting or the student will attend HLH setting with another responsible adult from their educational setting or parent. </w:t>
      </w:r>
    </w:p>
    <w:p w14:paraId="7D7409B8" w14:textId="7ACFB860" w:rsidR="00BC5652" w:rsidRPr="008D4BAC" w:rsidRDefault="008D4BAC" w:rsidP="00BC5652">
      <w:pPr>
        <w:pStyle w:val="ListParagraph"/>
        <w:numPr>
          <w:ilvl w:val="0"/>
          <w:numId w:val="1"/>
        </w:numPr>
        <w:spacing w:after="0"/>
        <w:rPr>
          <w:sz w:val="28"/>
          <w:szCs w:val="28"/>
        </w:rPr>
      </w:pPr>
      <w:r w:rsidRPr="008D4BAC">
        <w:rPr>
          <w:sz w:val="28"/>
          <w:szCs w:val="28"/>
        </w:rPr>
        <w:t xml:space="preserve">A reference or suitability check and disclaimer will be completed by the student and responsible adult/ parent from their school/college, and risk assessment carried out by the school or college prior to any start date being agreed. </w:t>
      </w:r>
    </w:p>
    <w:p w14:paraId="15BDF357" w14:textId="4D55FC4B" w:rsidR="008D4BAC" w:rsidRPr="008D4BAC" w:rsidRDefault="008D4BAC" w:rsidP="00BC5652">
      <w:pPr>
        <w:pStyle w:val="ListParagraph"/>
        <w:numPr>
          <w:ilvl w:val="0"/>
          <w:numId w:val="1"/>
        </w:numPr>
        <w:spacing w:after="0"/>
        <w:rPr>
          <w:sz w:val="28"/>
          <w:szCs w:val="28"/>
        </w:rPr>
      </w:pPr>
      <w:r w:rsidRPr="008D4BAC">
        <w:rPr>
          <w:sz w:val="28"/>
          <w:szCs w:val="28"/>
        </w:rPr>
        <w:t>HLH will send all insurance documents to the school/college to show compliance prior to student starting placement/ work experience.</w:t>
      </w:r>
    </w:p>
    <w:p w14:paraId="3CD21FC9" w14:textId="77777777" w:rsidR="008D4BAC" w:rsidRPr="008D4BAC" w:rsidRDefault="008D4BAC" w:rsidP="008D4BAC">
      <w:pPr>
        <w:spacing w:after="0"/>
        <w:rPr>
          <w:sz w:val="28"/>
          <w:szCs w:val="28"/>
        </w:rPr>
      </w:pPr>
    </w:p>
    <w:p w14:paraId="7432E492" w14:textId="109464B7" w:rsidR="008D4BAC" w:rsidRPr="008D4BAC" w:rsidRDefault="008D4BAC" w:rsidP="008D4BAC">
      <w:pPr>
        <w:spacing w:after="0"/>
        <w:rPr>
          <w:sz w:val="28"/>
          <w:szCs w:val="28"/>
        </w:rPr>
      </w:pPr>
      <w:r w:rsidRPr="008D4BAC">
        <w:rPr>
          <w:b/>
          <w:bCs/>
          <w:sz w:val="28"/>
          <w:szCs w:val="28"/>
        </w:rPr>
        <w:t xml:space="preserve">Employees Leaving HLH. </w:t>
      </w:r>
    </w:p>
    <w:p w14:paraId="1C6D4767" w14:textId="50CCEEE5" w:rsidR="008D4BAC" w:rsidRPr="008D4BAC" w:rsidRDefault="008D4BAC" w:rsidP="008D4BAC">
      <w:pPr>
        <w:spacing w:after="0"/>
        <w:rPr>
          <w:sz w:val="28"/>
          <w:szCs w:val="28"/>
        </w:rPr>
      </w:pPr>
      <w:r w:rsidRPr="008D4BAC">
        <w:rPr>
          <w:sz w:val="28"/>
          <w:szCs w:val="28"/>
        </w:rPr>
        <w:t>Every staff member who leaves the employment of HLH will be offered an exit interview. This will be with a member of the management team. Any information supplied during the exit interview is confidential, although relevant feedback which could help improve practice or the experience of staff at HLH is fed back discretely on a no names basis as part of the appraisal system. We hope this will improve HLH as an employer and give the staff a chance to offer feedback on their experience with us.</w:t>
      </w:r>
    </w:p>
    <w:p w14:paraId="03BF8548" w14:textId="77777777" w:rsidR="00BC5652" w:rsidRPr="008D4BAC" w:rsidRDefault="00BC5652" w:rsidP="00E56EB1">
      <w:pPr>
        <w:spacing w:after="0"/>
        <w:rPr>
          <w:sz w:val="28"/>
          <w:szCs w:val="28"/>
        </w:rPr>
      </w:pPr>
    </w:p>
    <w:p w14:paraId="2413B29C" w14:textId="77777777" w:rsidR="0090794A" w:rsidRPr="008D4BAC" w:rsidRDefault="0090794A" w:rsidP="00D55F2D">
      <w:pPr>
        <w:spacing w:after="0"/>
        <w:rPr>
          <w:sz w:val="28"/>
          <w:szCs w:val="28"/>
        </w:rPr>
      </w:pPr>
    </w:p>
    <w:p w14:paraId="65C5BD3F" w14:textId="47F99C55" w:rsidR="00D55F2D" w:rsidRPr="008D4BAC" w:rsidRDefault="008D4BAC" w:rsidP="00D55F2D">
      <w:pPr>
        <w:spacing w:after="0"/>
        <w:rPr>
          <w:sz w:val="28"/>
          <w:szCs w:val="28"/>
        </w:rPr>
      </w:pPr>
      <w:r w:rsidRPr="008D4BAC">
        <w:rPr>
          <w:sz w:val="28"/>
          <w:szCs w:val="28"/>
        </w:rPr>
        <w:t>Updated June 2025</w:t>
      </w:r>
    </w:p>
    <w:p w14:paraId="4E497E01" w14:textId="30E5641D" w:rsidR="008D4BAC" w:rsidRPr="008D4BAC" w:rsidRDefault="008D4BAC" w:rsidP="00D55F2D">
      <w:pPr>
        <w:spacing w:after="0"/>
        <w:rPr>
          <w:sz w:val="28"/>
          <w:szCs w:val="28"/>
        </w:rPr>
      </w:pPr>
      <w:r w:rsidRPr="008D4BAC">
        <w:rPr>
          <w:sz w:val="28"/>
          <w:szCs w:val="28"/>
        </w:rPr>
        <w:t>By Hayley Ashorobi/Paula Stockwell</w:t>
      </w:r>
    </w:p>
    <w:p w14:paraId="6D109356" w14:textId="533E5F34" w:rsidR="008D4BAC" w:rsidRPr="008D4BAC" w:rsidRDefault="008D4BAC" w:rsidP="00D55F2D">
      <w:pPr>
        <w:spacing w:after="0"/>
        <w:rPr>
          <w:sz w:val="28"/>
          <w:szCs w:val="28"/>
        </w:rPr>
      </w:pPr>
      <w:r w:rsidRPr="008D4BAC">
        <w:rPr>
          <w:sz w:val="28"/>
          <w:szCs w:val="28"/>
        </w:rPr>
        <w:t>Review Date June 2026</w:t>
      </w:r>
    </w:p>
    <w:sectPr w:rsidR="008D4BAC" w:rsidRPr="008D4BAC" w:rsidSect="00FF29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367C"/>
    <w:multiLevelType w:val="hybridMultilevel"/>
    <w:tmpl w:val="A0F2EB10"/>
    <w:lvl w:ilvl="0" w:tplc="D4461F9A">
      <w:start w:val="7"/>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47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E2"/>
    <w:rsid w:val="00077FD2"/>
    <w:rsid w:val="0021765C"/>
    <w:rsid w:val="003E48DC"/>
    <w:rsid w:val="00835A94"/>
    <w:rsid w:val="008D4BAC"/>
    <w:rsid w:val="0090794A"/>
    <w:rsid w:val="009E7209"/>
    <w:rsid w:val="00BC5652"/>
    <w:rsid w:val="00D55F2D"/>
    <w:rsid w:val="00DC13B0"/>
    <w:rsid w:val="00E56EB1"/>
    <w:rsid w:val="00F6609E"/>
    <w:rsid w:val="00FF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DF0F"/>
  <w15:chartTrackingRefBased/>
  <w15:docId w15:val="{1A0F45B5-096E-46AB-A813-E41FAA86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9E2"/>
    <w:rPr>
      <w:rFonts w:eastAsiaTheme="majorEastAsia" w:cstheme="majorBidi"/>
      <w:color w:val="272727" w:themeColor="text1" w:themeTint="D8"/>
    </w:rPr>
  </w:style>
  <w:style w:type="paragraph" w:styleId="Title">
    <w:name w:val="Title"/>
    <w:basedOn w:val="Normal"/>
    <w:next w:val="Normal"/>
    <w:link w:val="TitleChar"/>
    <w:uiPriority w:val="10"/>
    <w:qFormat/>
    <w:rsid w:val="00FF2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9E2"/>
    <w:pPr>
      <w:spacing w:before="160"/>
      <w:jc w:val="center"/>
    </w:pPr>
    <w:rPr>
      <w:i/>
      <w:iCs/>
      <w:color w:val="404040" w:themeColor="text1" w:themeTint="BF"/>
    </w:rPr>
  </w:style>
  <w:style w:type="character" w:customStyle="1" w:styleId="QuoteChar">
    <w:name w:val="Quote Char"/>
    <w:basedOn w:val="DefaultParagraphFont"/>
    <w:link w:val="Quote"/>
    <w:uiPriority w:val="29"/>
    <w:rsid w:val="00FF29E2"/>
    <w:rPr>
      <w:i/>
      <w:iCs/>
      <w:color w:val="404040" w:themeColor="text1" w:themeTint="BF"/>
    </w:rPr>
  </w:style>
  <w:style w:type="paragraph" w:styleId="ListParagraph">
    <w:name w:val="List Paragraph"/>
    <w:basedOn w:val="Normal"/>
    <w:uiPriority w:val="34"/>
    <w:qFormat/>
    <w:rsid w:val="00FF29E2"/>
    <w:pPr>
      <w:ind w:left="720"/>
      <w:contextualSpacing/>
    </w:pPr>
  </w:style>
  <w:style w:type="character" w:styleId="IntenseEmphasis">
    <w:name w:val="Intense Emphasis"/>
    <w:basedOn w:val="DefaultParagraphFont"/>
    <w:uiPriority w:val="21"/>
    <w:qFormat/>
    <w:rsid w:val="00FF29E2"/>
    <w:rPr>
      <w:i/>
      <w:iCs/>
      <w:color w:val="0F4761" w:themeColor="accent1" w:themeShade="BF"/>
    </w:rPr>
  </w:style>
  <w:style w:type="paragraph" w:styleId="IntenseQuote">
    <w:name w:val="Intense Quote"/>
    <w:basedOn w:val="Normal"/>
    <w:next w:val="Normal"/>
    <w:link w:val="IntenseQuoteChar"/>
    <w:uiPriority w:val="30"/>
    <w:qFormat/>
    <w:rsid w:val="00FF2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9E2"/>
    <w:rPr>
      <w:i/>
      <w:iCs/>
      <w:color w:val="0F4761" w:themeColor="accent1" w:themeShade="BF"/>
    </w:rPr>
  </w:style>
  <w:style w:type="character" w:styleId="IntenseReference">
    <w:name w:val="Intense Reference"/>
    <w:basedOn w:val="DefaultParagraphFont"/>
    <w:uiPriority w:val="32"/>
    <w:qFormat/>
    <w:rsid w:val="00FF2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4</cp:revision>
  <dcterms:created xsi:type="dcterms:W3CDTF">2025-06-24T12:09:00Z</dcterms:created>
  <dcterms:modified xsi:type="dcterms:W3CDTF">2025-07-01T12:23:00Z</dcterms:modified>
</cp:coreProperties>
</file>